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10314"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2"/>
        <w:gridCol w:w="3224"/>
        <w:gridCol w:w="3868"/>
      </w:tblGrid>
      <w:tr>
        <w:trPr>
          <w:trHeight w:val="398" w:hRule="atLeast"/>
        </w:trPr>
        <w:tc>
          <w:tcPr>
            <w:tcW w:w="1031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53" w:hRule="atLeast"/>
        </w:trPr>
        <w:tc>
          <w:tcPr>
            <w:tcW w:w="3222"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24"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86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06" w:hRule="atLeast"/>
        </w:trPr>
        <w:tc>
          <w:tcPr>
            <w:tcW w:w="3222"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24"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86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様式第５－（ロ）－③</w:t>
      </w:r>
    </w:p>
    <w:tbl>
      <w:tblPr>
        <w:tblStyle w:val="11"/>
        <w:tblW w:w="10318" w:type="dxa"/>
        <w:jc w:val="left"/>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318"/>
      </w:tblGrid>
      <w:tr>
        <w:trPr/>
        <w:tc>
          <w:tcPr>
            <w:tcW w:w="10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中小企業信用保険法第２条第５項第５号の規定による認定申請書（ロ－③）</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37"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西之表市長　　殿</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bookmarkStart w:id="0" w:name="_GoBack"/>
            <w:bookmarkEnd w:id="0"/>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ind w:right="803"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803"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印</w:t>
            </w:r>
          </w:p>
          <w:p>
            <w:pPr>
              <w:pStyle w:val="0"/>
              <w:suppressAutoHyphens w:val="1"/>
              <w:kinsoku w:val="0"/>
              <w:wordWrap w:val="0"/>
              <w:overflowPunct w:val="0"/>
              <w:autoSpaceDE w:val="0"/>
              <w:autoSpaceDN w:val="0"/>
              <w:adjustRightInd w:val="0"/>
              <w:spacing w:line="180" w:lineRule="exact"/>
              <w:jc w:val="left"/>
              <w:textAlignment w:val="baseline"/>
              <w:rPr>
                <w:rFonts w:hint="default" w:ascii="ＭＳ ゴシック" w:hAnsi="ＭＳ ゴシック" w:eastAsia="ＭＳ ゴシック"/>
                <w:color w:val="000000"/>
                <w:spacing w:val="16"/>
                <w:kern w:val="0"/>
              </w:rPr>
            </w:pPr>
          </w:p>
          <w:p>
            <w:pPr>
              <w:pStyle w:val="39"/>
              <w:jc w:val="left"/>
              <w:rPr>
                <w:rFonts w:hint="default"/>
              </w:rPr>
            </w:pPr>
            <w:r>
              <w:rPr>
                <w:rFonts w:hint="eastAsia"/>
              </w:rPr>
              <w:t>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表</w:t>
            </w:r>
            <w:r>
              <w:rPr>
                <w:rFonts w:hint="eastAsia"/>
              </w:rPr>
              <w:t>)</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7"/>
              <w:gridCol w:w="3168"/>
              <w:gridCol w:w="3168"/>
            </w:tblGrid>
            <w:tr>
              <w:trPr>
                <w:trHeight w:val="327" w:hRule="atLeast"/>
              </w:trPr>
              <w:tc>
                <w:tcPr>
                  <w:tcW w:w="316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8"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41" w:hRule="atLeast"/>
              </w:trPr>
              <w:tc>
                <w:tcPr>
                  <w:tcW w:w="3167"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8"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8"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※表には、指定業種であって、原油等の価格の上昇を製品等の価格に転嫁できていない事業が属する業種</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日本標準産業分類の細分類番号と細分類業種名</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を記載。当該指定業種が複数ある場合には、その中で、最近１年間で最も売上高等が大きい事業が属する指定業種を左上の太枠に記載。</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①上記の表に記載した指定業種（以下同じ。）に係る原油等の仕入単価の上昇（注２）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上昇率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Ｅ：指定業種に係る原油等の最近１か月間における平均仕入れ単価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ｅ：指定業種に係るＥの期間に対応する前年１か月間の平均仕入れ単価</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②全体の売上原価のうち指定業種に係る原油等の仕入価格が占める割合（注２）</w:t>
            </w:r>
          </w:p>
          <w:p>
            <w:pPr>
              <w:pStyle w:val="0"/>
              <w:suppressAutoHyphens w:val="1"/>
              <w:kinsoku w:val="0"/>
              <w:wordWrap w:val="0"/>
              <w:overflowPunct w:val="0"/>
              <w:autoSpaceDE w:val="0"/>
              <w:autoSpaceDN w:val="0"/>
              <w:adjustRightInd w:val="0"/>
              <w:spacing w:line="240" w:lineRule="exact"/>
              <w:ind w:firstLine="963"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Ｓ</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依存率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Ｃ：申込時点における最新の全体の売上原価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Ｓ：Ｃの売上原価に対応する指定業種に係る原油等の仕入価格</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③－１　指定業種に係る製品等価格への転嫁の状況（注３）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Ｂ１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ｂ１</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＝Ｐ１</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Ａ１：申込時点における最近３か月間の指定業種に係る原油等の仕入価格</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ａ１：Ａ１の期間に対応する前年３か月間の指定業種に係る原油等の仕入価格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Ｂ１：申込時点における最近３か月間の指定業種に係る売上高</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color w:val="000000"/>
                <w:spacing w:val="16"/>
                <w:kern w:val="0"/>
              </w:rPr>
            </w:pPr>
            <w:r>
              <w:rPr>
                <w:rFonts w:hint="eastAsia" w:ascii="ＭＳ ゴシック" w:hAnsi="ＭＳ ゴシック" w:eastAsia="ＭＳ ゴシック"/>
                <w:color w:val="000000"/>
                <w:kern w:val="0"/>
              </w:rPr>
              <w:t>　ｂ１：Ｂ１の期間に対応する前年３か月間の指定業種に係る売上高</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③－２　全体に係る製品等価格への転嫁の状況（注３）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Ｂ２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ｂ２</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Ｐ２＝</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Ａ１：申込時点における最近３か月間の指定業種に係る原油等の仕入価格</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ａ１：Ａ１の期間に対応する前年３か月間の指定業種に係る原油等の仕入価格</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Ｂ２：申込時点における最近３か月間の全体の売上高</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ｂ２：Ｂ２の期間に対応する前年３か月間の全体の売上高</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tc>
      </w:tr>
    </w:tbl>
    <w:p>
      <w:pPr>
        <w:pStyle w:val="0"/>
        <w:suppressAutoHyphens w:val="1"/>
        <w:spacing w:line="320" w:lineRule="exact"/>
        <w:ind w:left="737" w:hanging="737"/>
        <w:jc w:val="right"/>
        <w:textAlignment w:val="baseline"/>
        <w:rPr>
          <w:rFonts w:hint="default" w:ascii="ＭＳ ゴシック" w:hAnsi="ＭＳ ゴシック" w:eastAsia="ＭＳ ゴシック"/>
          <w:color w:val="000000"/>
          <w:kern w:val="0"/>
          <w:sz w:val="24"/>
        </w:rPr>
      </w:pPr>
      <w:r>
        <w:rPr>
          <w:rFonts w:hint="default" w:ascii="ＭＳ ゴシック" w:hAnsi="ＭＳ ゴシック" w:eastAsia="ＭＳ ゴシック"/>
          <w:color w:val="000000"/>
          <w:spacing w:val="16"/>
          <w:kern w:val="0"/>
        </w:rPr>
        <mc:AlternateContent>
          <mc:Choice Requires="wps">
            <w:drawing>
              <wp:anchor distT="0" distB="0" distL="114300" distR="114300" simplePos="0" relativeHeight="2" behindDoc="0" locked="0" layoutInCell="1" hidden="0" allowOverlap="1">
                <wp:simplePos x="0" y="0"/>
                <wp:positionH relativeFrom="column">
                  <wp:posOffset>-203200</wp:posOffset>
                </wp:positionH>
                <wp:positionV relativeFrom="paragraph">
                  <wp:posOffset>31115</wp:posOffset>
                </wp:positionV>
                <wp:extent cx="6557645" cy="1548130"/>
                <wp:effectExtent l="0" t="0" r="635" b="635"/>
                <wp:wrapNone/>
                <wp:docPr id="1026" name="Text Box 3"/>
                <a:graphic xmlns:a="http://schemas.openxmlformats.org/drawingml/2006/main">
                  <a:graphicData uri="http://schemas.microsoft.com/office/word/2010/wordprocessingShape">
                    <wps:wsp>
                      <wps:cNvPr id="1026" name="Text Box 3"/>
                      <wps:cNvSpPr txBox="1">
                        <a:spLocks noChangeArrowheads="1"/>
                      </wps:cNvSpPr>
                      <wps:spPr>
                        <a:xfrm>
                          <a:off x="0" y="0"/>
                          <a:ext cx="6557645" cy="1548130"/>
                        </a:xfrm>
                        <a:prstGeom prst="rect">
                          <a:avLst/>
                        </a:prstGeom>
                        <a:noFill/>
                        <a:ln>
                          <a:noFill/>
                        </a:ln>
                      </wps:spPr>
                      <wps:txbx>
                        <w:txbxContent>
                          <w:p>
                            <w:pPr>
                              <w:pStyle w:val="0"/>
                              <w:suppressAutoHyphens w:val="1"/>
                              <w:spacing w:line="280" w:lineRule="exact"/>
                              <w:ind w:left="738" w:hanging="73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（注１）本様式は、指定業種に係る原油等の仕入価格の上昇等を指定業種及び企業全体の製品等の価格に転嫁できていないことによって認定基準を満たす場合に使用する。</w:t>
                            </w:r>
                          </w:p>
                          <w:p>
                            <w:pPr>
                              <w:pStyle w:val="0"/>
                              <w:suppressAutoHyphens w:val="1"/>
                              <w:spacing w:line="280" w:lineRule="exact"/>
                              <w:ind w:left="738" w:hanging="73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（注２）上昇率及び依存率が２０％以上となっていること。</w:t>
                            </w:r>
                          </w:p>
                          <w:p>
                            <w:pPr>
                              <w:pStyle w:val="0"/>
                              <w:suppressAutoHyphens w:val="1"/>
                              <w:spacing w:line="280" w:lineRule="exact"/>
                              <w:ind w:left="738" w:hanging="73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（注３）Ｐ１＞０、かつ、Ｐ２＞０となっていること。</w:t>
                            </w:r>
                          </w:p>
                          <w:p>
                            <w:pPr>
                              <w:pStyle w:val="0"/>
                              <w:suppressAutoHyphens w:val="1"/>
                              <w:spacing w:line="28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8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kinsoku w:val="0"/>
                              <w:autoSpaceDE w:val="0"/>
                              <w:autoSpaceDN w:val="0"/>
                              <w:spacing w:line="280" w:lineRule="exact"/>
                              <w:ind w:left="514" w:hanging="514" w:hangingChars="267"/>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ind w:left="862" w:hanging="86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br w:type="page"/>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v-text-anchor:top;mso-wrap-distance-top:0pt;mso-wrap-distance-right:9pt;mso-wrap-distance-left:9pt;mso-wrap-distance-bottom:0pt;margin-top:2.4500000000000002pt;margin-left:-16pt;mso-position-horizontal-relative:text;mso-position-vertical-relative:text;position:absolute;height:121.9pt;width:516.35pt;z-index:2;" o:spid="_x0000_s1026" o:allowincell="t" o:allowoverlap="t" filled="f" stroked="f" o:spt="202" type="#_x0000_t202">
                <v:fill/>
                <v:textbox style="layout-flow:horizontal;" inset="2.5399999999999996mm,1.2699999999999998mm,2.5399999999999996mm,1.2699999999999998mm">
                  <w:txbxContent>
                    <w:p>
                      <w:pPr>
                        <w:pStyle w:val="0"/>
                        <w:suppressAutoHyphens w:val="1"/>
                        <w:spacing w:line="280" w:lineRule="exact"/>
                        <w:ind w:left="738" w:hanging="73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（注１）本様式は、指定業種に係る原油等の仕入価格の上昇等を指定業種及び企業全体の製品等の価格に転嫁できていないことによって認定基準を満たす場合に使用する。</w:t>
                      </w:r>
                    </w:p>
                    <w:p>
                      <w:pPr>
                        <w:pStyle w:val="0"/>
                        <w:suppressAutoHyphens w:val="1"/>
                        <w:spacing w:line="280" w:lineRule="exact"/>
                        <w:ind w:left="738" w:hanging="73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（注２）上昇率及び依存率が２０％以上となっていること。</w:t>
                      </w:r>
                    </w:p>
                    <w:p>
                      <w:pPr>
                        <w:pStyle w:val="0"/>
                        <w:suppressAutoHyphens w:val="1"/>
                        <w:spacing w:line="280" w:lineRule="exact"/>
                        <w:ind w:left="738" w:hanging="73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（注３）Ｐ１＞０、かつ、Ｐ２＞０となっていること。</w:t>
                      </w:r>
                    </w:p>
                    <w:p>
                      <w:pPr>
                        <w:pStyle w:val="0"/>
                        <w:suppressAutoHyphens w:val="1"/>
                        <w:spacing w:line="28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8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kinsoku w:val="0"/>
                        <w:autoSpaceDE w:val="0"/>
                        <w:autoSpaceDN w:val="0"/>
                        <w:spacing w:line="280" w:lineRule="exact"/>
                        <w:ind w:left="514" w:hanging="514" w:hangingChars="267"/>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ind w:left="862" w:hanging="86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br w:type="page"/>
                      </w:r>
                    </w:p>
                  </w:txbxContent>
                </v:textbox>
                <v:imagedata o:title=""/>
                <w10:wrap type="none" anchorx="text" anchory="text"/>
              </v:shape>
            </w:pict>
          </mc:Fallback>
        </mc:AlternateContent>
      </w:r>
    </w:p>
    <w:p>
      <w:pPr>
        <w:pStyle w:val="0"/>
        <w:widowControl w:val="1"/>
        <w:jc w:val="left"/>
        <w:rPr>
          <w:rFonts w:hint="default" w:ascii="ＭＳ ゴシック" w:hAnsi="ＭＳ ゴシック" w:eastAsia="ＭＳ ゴシック"/>
          <w:color w:val="000000"/>
          <w:kern w:val="0"/>
          <w:sz w:val="24"/>
        </w:rPr>
      </w:pPr>
    </w:p>
    <w:p>
      <w:pPr>
        <w:pStyle w:val="0"/>
        <w:widowControl w:val="1"/>
        <w:jc w:val="left"/>
        <w:rPr>
          <w:rFonts w:hint="default" w:ascii="ＭＳ ゴシック" w:hAnsi="ＭＳ ゴシック" w:eastAsia="ＭＳ ゴシック"/>
          <w:color w:val="000000"/>
          <w:kern w:val="0"/>
          <w:sz w:val="24"/>
        </w:rPr>
      </w:pPr>
      <w:r>
        <w:rPr>
          <w:rFonts w:hint="default" w:ascii="ＭＳ ゴシック" w:hAnsi="ＭＳ ゴシック" w:eastAsia="ＭＳ ゴシック"/>
          <w:color w:val="000000"/>
          <w:kern w:val="0"/>
          <w:sz w:val="24"/>
        </w:rPr>
        <w:br w:type="page"/>
      </w:r>
    </w:p>
    <w:p>
      <w:pPr>
        <w:pStyle w:val="0"/>
        <w:suppressAutoHyphens w:val="1"/>
        <w:spacing w:line="320" w:lineRule="exact"/>
        <w:ind w:left="737" w:hanging="737"/>
        <w:jc w:val="right"/>
        <w:textAlignment w:val="baseline"/>
        <w:rPr>
          <w:rFonts w:hint="default" w:ascii="ＭＳ ゴシック" w:hAnsi="ＭＳ ゴシック" w:eastAsia="ＭＳ ゴシック"/>
          <w:color w:val="000000"/>
          <w:kern w:val="0"/>
          <w:sz w:val="24"/>
        </w:rPr>
      </w:pPr>
      <w:r>
        <w:rPr>
          <w:rFonts w:hint="default" w:ascii="ＭＳ ゴシック" w:hAnsi="ＭＳ ゴシック" w:eastAsia="ＭＳ ゴシック"/>
          <w:color w:val="000000"/>
          <w:kern w:val="0"/>
          <w:sz w:val="24"/>
        </w:rPr>
        <mc:AlternateContent>
          <mc:Choice Requires="wps">
            <w:drawing>
              <wp:anchor distT="0" distB="0" distL="114300" distR="114300" simplePos="0" relativeHeight="4" behindDoc="0" locked="0" layoutInCell="1" hidden="0" allowOverlap="1">
                <wp:simplePos x="0" y="0"/>
                <wp:positionH relativeFrom="column">
                  <wp:posOffset>2971165</wp:posOffset>
                </wp:positionH>
                <wp:positionV relativeFrom="paragraph">
                  <wp:posOffset>408940</wp:posOffset>
                </wp:positionV>
                <wp:extent cx="180975" cy="111760"/>
                <wp:effectExtent l="0" t="0" r="635" b="635"/>
                <wp:wrapNone/>
                <wp:docPr id="1027" name="正方形/長方形 7"/>
                <a:graphic xmlns:a="http://schemas.openxmlformats.org/drawingml/2006/main">
                  <a:graphicData uri="http://schemas.microsoft.com/office/word/2010/wordprocessingShape">
                    <wps:wsp>
                      <wps:cNvPr id="1027" name="正方形/長方形 7"/>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7" style="mso-wrap-distance-top:0pt;mso-wrap-distance-right:9pt;mso-wrap-distance-left:9pt;mso-wrap-distance-bottom:0pt;margin-top:32.200000000000003pt;margin-left:233.95pt;mso-position-horizontal-relative:text;mso-position-vertical-relative:text;position:absolute;height:8.8000000000000007pt;width:14.25pt;z-index:4;" o:spid="_x0000_s1027" o:allowincell="t" o:allowoverlap="t" filled="t" fillcolor="#ffffff [3212]" stroked="f" strokecolor="#385d8a" strokeweight="2pt" o:spt="1">
                <v:fill/>
                <v:stroke linestyle="single" endcap="flat" dashstyle="solid"/>
                <v:textbox style="layout-flow:horizontal;"/>
                <v:imagedata o:title=""/>
                <w10:wrap type="none" anchorx="text" anchory="text"/>
              </v:rect>
            </w:pict>
          </mc:Fallback>
        </mc:AlternateConten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mc:AlternateContent>
          <mc:Choice Requires="wps">
            <w:drawing>
              <wp:anchor distT="0" distB="0" distL="114300" distR="114300" simplePos="0" relativeHeight="3" behindDoc="0" locked="0" layoutInCell="1" hidden="0" allowOverlap="1">
                <wp:simplePos x="0" y="0"/>
                <wp:positionH relativeFrom="column">
                  <wp:posOffset>2945765</wp:posOffset>
                </wp:positionH>
                <wp:positionV relativeFrom="paragraph">
                  <wp:posOffset>676910</wp:posOffset>
                </wp:positionV>
                <wp:extent cx="292735" cy="120650"/>
                <wp:effectExtent l="0" t="0" r="635" b="635"/>
                <wp:wrapNone/>
                <wp:docPr id="1028" name="正方形/長方形 4"/>
                <a:graphic xmlns:a="http://schemas.openxmlformats.org/drawingml/2006/main">
                  <a:graphicData uri="http://schemas.microsoft.com/office/word/2010/wordprocessingShape">
                    <wps:wsp>
                      <wps:cNvPr id="1028" name="正方形/長方形 4"/>
                      <wps:cNvSpPr/>
                      <wps:spPr>
                        <a:xfrm>
                          <a:off x="0" y="0"/>
                          <a:ext cx="292735" cy="120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4" style="mso-wrap-distance-top:0pt;mso-wrap-distance-right:9pt;mso-wrap-distance-left:9pt;mso-wrap-distance-bottom:0pt;margin-top:53.3pt;margin-left:231.95pt;mso-position-horizontal-relative:text;mso-position-vertical-relative:text;position:absolute;height:9.5pt;width:23.05pt;z-index:3;" o:spid="_x0000_s1028" o:allowincell="t" o:allowoverlap="t" filled="t" fillcolor="#ffffff [3212]" stroked="f" strokecolor="#385d8a" strokeweight="2pt" o:spt="1">
                <v:fill/>
                <v:stroke linestyle="single" endcap="flat" dashstyle="solid"/>
                <v:textbox style="layout-flow:horizontal;"/>
                <v:imagedata o:title=""/>
                <w10:wrap type="none" anchorx="text" anchory="text"/>
              </v:rect>
            </w:pict>
          </mc:Fallback>
        </mc:AlternateContent>
      </w:r>
      <w:r>
        <w:rPr>
          <w:rFonts w:hint="eastAsia" w:ascii="ＭＳ ゴシック" w:hAnsi="ＭＳ ゴシック" w:eastAsia="ＭＳ ゴシック"/>
          <w:color w:val="000000"/>
          <w:kern w:val="0"/>
        </w:rPr>
        <w:t>西経観第　　　　　号</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令和　　　年　　　月　　　日</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申請のとおり、相違ないことを認定します。</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西之表市長　　八板</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俊輔</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本認定書の有効期間</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令和　　　年　　　月　　　日</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から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日まで</w:t>
      </w:r>
    </w:p>
    <w:p>
      <w:pPr>
        <w:pStyle w:val="0"/>
        <w:suppressAutoHyphens w:val="1"/>
        <w:kinsoku w:val="0"/>
        <w:wordWrap w:val="0"/>
        <w:overflowPunct w:val="0"/>
        <w:autoSpaceDE w:val="0"/>
        <w:autoSpaceDN w:val="0"/>
        <w:adjustRightInd w:val="0"/>
        <w:spacing w:line="320" w:lineRule="exact"/>
        <w:ind w:left="655" w:leftChars="-66" w:hanging="782" w:hangingChars="406"/>
        <w:jc w:val="left"/>
        <w:textAlignment w:val="baseline"/>
        <w:rPr>
          <w:rFonts w:hint="default" w:ascii="ＭＳ ゴシック" w:hAnsi="ＭＳ ゴシック" w:eastAsia="ＭＳ ゴシック"/>
          <w:sz w:val="24"/>
        </w:rPr>
        <w:sectPr>
          <w:pgSz w:w="11906" w:h="16838"/>
          <w:pgMar w:top="851" w:right="851" w:bottom="567" w:left="851" w:header="0" w:footer="737" w:gutter="0"/>
          <w:cols w:space="720"/>
          <w:textDirection w:val="lrTb"/>
          <w:docGrid w:type="linesAndChars" w:linePitch="291" w:charSpace="-3579"/>
        </w:sectPr>
      </w:pPr>
      <w:r>
        <w:rPr>
          <w:rFonts w:hint="default" w:ascii="ＭＳ ゴシック" w:hAnsi="ＭＳ ゴシック" w:eastAsia="ＭＳ ゴシック"/>
          <w:sz w:val="24"/>
        </w:rPr>
        <w:br w:type="page"/>
      </w:r>
    </w:p>
    <w:p>
      <w:pPr>
        <w:pStyle w:val="0"/>
        <w:suppressAutoHyphens w:val="1"/>
        <w:wordWrap w:val="0"/>
        <w:spacing w:line="240" w:lineRule="exact"/>
        <w:jc w:val="left"/>
        <w:textAlignment w:val="baseline"/>
        <w:rPr>
          <w:rFonts w:hint="default"/>
        </w:rPr>
      </w:pPr>
    </w:p>
    <w:sectPr>
      <w:pgSz w:w="11906" w:h="16838"/>
      <w:pgMar w:top="1985" w:right="1701" w:bottom="1701"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840"/>
  <w:drawingGridHorizontalSpacing w:val="19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3</Pages>
  <Words>3</Words>
  <Characters>902</Characters>
  <Application>JUST Note</Application>
  <Lines>66</Lines>
  <Paragraphs>35</Paragraphs>
  <Company>経済産業省</Company>
  <CharactersWithSpaces>1508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蓑茂 友興</dc:creator>
  <cp:lastModifiedBy>蓑茂 友興</cp:lastModifiedBy>
  <cp:lastPrinted>2013-09-17T13:51:00Z</cp:lastPrinted>
  <dcterms:created xsi:type="dcterms:W3CDTF">2020-03-06T03:04:00Z</dcterms:created>
  <dcterms:modified xsi:type="dcterms:W3CDTF">2020-03-06T02:50:20Z</dcterms:modified>
  <cp:revision>30</cp:revision>
</cp:coreProperties>
</file>